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97D2" w14:textId="77777777" w:rsidR="007A5B31" w:rsidRPr="007A5B31" w:rsidRDefault="007A5B31" w:rsidP="007A5B31">
      <w:pPr>
        <w:spacing w:before="100" w:beforeAutospacing="1" w:after="100" w:afterAutospacing="1" w:line="360" w:lineRule="auto"/>
        <w:rPr>
          <w:rFonts w:ascii="Times New Roman" w:eastAsia="Times New Roman" w:hAnsi="Times New Roman" w:cs="Times New Roman"/>
          <w:b/>
          <w:bCs/>
          <w:color w:val="993366"/>
          <w:kern w:val="0"/>
          <w:sz w:val="28"/>
          <w:szCs w:val="28"/>
          <w:u w:val="single"/>
          <w:lang w:eastAsia="el-GR"/>
          <w14:ligatures w14:val="none"/>
        </w:rPr>
      </w:pPr>
      <w:r w:rsidRPr="007A5B31">
        <w:rPr>
          <w:rFonts w:ascii="Times New Roman" w:eastAsia="Times New Roman" w:hAnsi="Times New Roman" w:cs="Times New Roman"/>
          <w:b/>
          <w:bCs/>
          <w:color w:val="993366"/>
          <w:kern w:val="0"/>
          <w:sz w:val="28"/>
          <w:szCs w:val="28"/>
          <w:u w:val="single"/>
          <w:lang w:eastAsia="el-GR"/>
          <w14:ligatures w14:val="none"/>
        </w:rPr>
        <w:t>Οδηγίες για τις Πανελλαδικές Εξετάσεις 2024</w:t>
      </w:r>
    </w:p>
    <w:p w14:paraId="23843989" w14:textId="73D1631F" w:rsidR="007A5B31" w:rsidRPr="007A5B31" w:rsidRDefault="007A5B31" w:rsidP="007A5B31">
      <w:pPr>
        <w:spacing w:before="100" w:beforeAutospacing="1" w:after="100" w:afterAutospacing="1" w:line="360" w:lineRule="auto"/>
        <w:rPr>
          <w:rFonts w:ascii="Times New Roman" w:eastAsia="Times New Roman" w:hAnsi="Times New Roman" w:cs="Times New Roman"/>
          <w:b/>
          <w:bCs/>
          <w:color w:val="4C94D8" w:themeColor="text2" w:themeTint="80"/>
          <w:kern w:val="0"/>
          <w:sz w:val="24"/>
          <w:szCs w:val="24"/>
          <w:lang w:eastAsia="el-GR"/>
          <w14:ligatures w14:val="none"/>
        </w:rPr>
      </w:pPr>
      <w:r w:rsidRPr="007A5B31">
        <w:rPr>
          <w:rFonts w:ascii="Times New Roman" w:eastAsia="Times New Roman" w:hAnsi="Times New Roman" w:cs="Times New Roman"/>
          <w:b/>
          <w:bCs/>
          <w:color w:val="4EA72E" w:themeColor="accent6"/>
          <w:kern w:val="0"/>
          <w:sz w:val="24"/>
          <w:szCs w:val="24"/>
          <w:lang w:eastAsia="el-GR"/>
          <w14:ligatures w14:val="none"/>
        </w:rPr>
        <w:t>Ώρα ΠΡΟΣΕΛΕΥΣΗΣ</w:t>
      </w:r>
      <w:r w:rsidRPr="007A5B31">
        <w:rPr>
          <w:rFonts w:ascii="Times New Roman" w:eastAsia="Times New Roman" w:hAnsi="Times New Roman" w:cs="Times New Roman"/>
          <w:b/>
          <w:bCs/>
          <w:kern w:val="0"/>
          <w:sz w:val="24"/>
          <w:szCs w:val="24"/>
          <w:lang w:eastAsia="el-GR"/>
          <w14:ligatures w14:val="none"/>
        </w:rPr>
        <w:t xml:space="preserve">: έως 07:45 την πρώτη μέρα και έως 08:00 τις υπόλοιπες ημέρες. Οι υποψήφιοι/ες προσέρχονται έχοντας μαζί τους το </w:t>
      </w:r>
      <w:r w:rsidRPr="007A5B31">
        <w:rPr>
          <w:rFonts w:ascii="Times New Roman" w:eastAsia="Times New Roman" w:hAnsi="Times New Roman" w:cs="Times New Roman"/>
          <w:b/>
          <w:bCs/>
          <w:color w:val="4C94D8" w:themeColor="text2" w:themeTint="80"/>
          <w:kern w:val="0"/>
          <w:sz w:val="24"/>
          <w:szCs w:val="24"/>
          <w:lang w:eastAsia="el-GR"/>
          <w14:ligatures w14:val="none"/>
        </w:rPr>
        <w:t>ΔΕΛΤΙΟ ΕΞΕΤΑΖΟΜΕΝΟΥ.</w:t>
      </w:r>
    </w:p>
    <w:p w14:paraId="229FF245" w14:textId="77777777" w:rsidR="007A5B31" w:rsidRPr="007A5B31" w:rsidRDefault="007A5B31" w:rsidP="007A5B31">
      <w:pPr>
        <w:spacing w:before="100" w:beforeAutospacing="1" w:after="100" w:afterAutospacing="1" w:line="360" w:lineRule="auto"/>
        <w:rPr>
          <w:rFonts w:ascii="Times New Roman" w:eastAsia="Times New Roman" w:hAnsi="Times New Roman" w:cs="Times New Roman"/>
          <w:b/>
          <w:bCs/>
          <w:kern w:val="0"/>
          <w:sz w:val="24"/>
          <w:szCs w:val="24"/>
          <w:lang w:eastAsia="el-GR"/>
          <w14:ligatures w14:val="none"/>
        </w:rPr>
      </w:pPr>
      <w:r w:rsidRPr="007A5B31">
        <w:rPr>
          <w:rFonts w:ascii="Times New Roman" w:eastAsia="Times New Roman" w:hAnsi="Times New Roman" w:cs="Times New Roman"/>
          <w:b/>
          <w:bCs/>
          <w:kern w:val="0"/>
          <w:sz w:val="24"/>
          <w:szCs w:val="24"/>
          <w:lang w:eastAsia="el-GR"/>
          <w14:ligatures w14:val="none"/>
        </w:rPr>
        <w:t>α)</w:t>
      </w:r>
      <w:r w:rsidRPr="007A5B31">
        <w:rPr>
          <w:rFonts w:ascii="Times New Roman" w:eastAsia="Times New Roman" w:hAnsi="Times New Roman" w:cs="Times New Roman"/>
          <w:kern w:val="0"/>
          <w:sz w:val="24"/>
          <w:szCs w:val="24"/>
          <w:lang w:eastAsia="el-GR"/>
          <w14:ligatures w14:val="none"/>
        </w:rPr>
        <w:t xml:space="preserve"> </w:t>
      </w:r>
      <w:r w:rsidRPr="007A5B31">
        <w:rPr>
          <w:rFonts w:ascii="Times New Roman" w:eastAsia="Times New Roman" w:hAnsi="Times New Roman" w:cs="Times New Roman"/>
          <w:b/>
          <w:bCs/>
          <w:color w:val="FF0000"/>
          <w:kern w:val="0"/>
          <w:sz w:val="24"/>
          <w:szCs w:val="24"/>
          <w:lang w:eastAsia="el-GR"/>
          <w14:ligatures w14:val="none"/>
        </w:rPr>
        <w:t>Δεν επιτρέπεται</w:t>
      </w:r>
      <w:r w:rsidRPr="007A5B31">
        <w:rPr>
          <w:rFonts w:ascii="Times New Roman" w:eastAsia="Times New Roman" w:hAnsi="Times New Roman" w:cs="Times New Roman"/>
          <w:b/>
          <w:bCs/>
          <w:kern w:val="0"/>
          <w:sz w:val="24"/>
          <w:szCs w:val="24"/>
          <w:lang w:eastAsia="el-GR"/>
          <w14:ligatures w14:val="none"/>
        </w:rPr>
        <w:t xml:space="preserve"> να έχουν μαζί τους:</w:t>
      </w:r>
    </w:p>
    <w:p w14:paraId="6D1E0F10" w14:textId="33FD9E62" w:rsidR="007A5B31" w:rsidRPr="007A5B31" w:rsidRDefault="007A5B31" w:rsidP="007A5B3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l-GR"/>
          <w14:ligatures w14:val="none"/>
        </w:rPr>
      </w:pPr>
      <w:r w:rsidRPr="007A5B31">
        <w:rPr>
          <w:rFonts w:ascii="Times New Roman" w:eastAsia="Times New Roman" w:hAnsi="Times New Roman" w:cs="Times New Roman"/>
          <w:noProof/>
          <w:color w:val="0000FF"/>
          <w:kern w:val="0"/>
          <w:sz w:val="24"/>
          <w:szCs w:val="24"/>
          <w:lang w:eastAsia="el-GR"/>
          <w14:ligatures w14:val="none"/>
        </w:rPr>
        <w:drawing>
          <wp:anchor distT="0" distB="0" distL="114300" distR="114300" simplePos="0" relativeHeight="251658240" behindDoc="1" locked="0" layoutInCell="1" allowOverlap="1" wp14:anchorId="7282BD25" wp14:editId="3BBD6D98">
            <wp:simplePos x="0" y="0"/>
            <wp:positionH relativeFrom="column">
              <wp:posOffset>2766060</wp:posOffset>
            </wp:positionH>
            <wp:positionV relativeFrom="paragraph">
              <wp:posOffset>5715</wp:posOffset>
            </wp:positionV>
            <wp:extent cx="2857500" cy="1432560"/>
            <wp:effectExtent l="0" t="0" r="0" b="0"/>
            <wp:wrapTight wrapText="bothSides">
              <wp:wrapPolygon edited="0">
                <wp:start x="0" y="0"/>
                <wp:lineTo x="0" y="21255"/>
                <wp:lineTo x="21456" y="21255"/>
                <wp:lineTo x="21456" y="0"/>
                <wp:lineTo x="0" y="0"/>
              </wp:wrapPolygon>
            </wp:wrapTight>
            <wp:docPr id="5" name="Εικόνα 6" descr="Εικόνα που περιέχει άτομο, Μάθηση, γραφική ύλη, είδη γραφείου&#10;&#10;Περιγραφή που δημιουργήθηκε αυτόματα">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6" descr="Εικόνα που περιέχει άτομο, Μάθηση, γραφική ύλη, είδη γραφείου&#10;&#10;Περιγραφή που δημιουργήθηκε αυτόματα">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432560"/>
                    </a:xfrm>
                    <a:prstGeom prst="rect">
                      <a:avLst/>
                    </a:prstGeom>
                    <a:noFill/>
                    <a:ln>
                      <a:noFill/>
                    </a:ln>
                  </pic:spPr>
                </pic:pic>
              </a:graphicData>
            </a:graphic>
          </wp:anchor>
        </w:drawing>
      </w:r>
      <w:r w:rsidRPr="007A5B31">
        <w:rPr>
          <w:rFonts w:ascii="Times New Roman" w:eastAsia="Times New Roman" w:hAnsi="Times New Roman" w:cs="Times New Roman"/>
          <w:kern w:val="0"/>
          <w:sz w:val="24"/>
          <w:szCs w:val="24"/>
          <w:lang w:eastAsia="el-GR"/>
          <w14:ligatures w14:val="none"/>
        </w:rPr>
        <w:t>βιβλία, τετράδια, σημειώσεις (τα οποία πρέπει να μείνουν εκτός αίθουσας)</w:t>
      </w:r>
    </w:p>
    <w:p w14:paraId="3534DC63" w14:textId="375ADDD9" w:rsidR="007A5B31" w:rsidRPr="007A5B31" w:rsidRDefault="007A5B31" w:rsidP="007A5B3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l-GR"/>
          <w14:ligatures w14:val="none"/>
        </w:rPr>
      </w:pPr>
      <w:r w:rsidRPr="007A5B31">
        <w:rPr>
          <w:rFonts w:ascii="Times New Roman" w:eastAsia="Times New Roman" w:hAnsi="Times New Roman" w:cs="Times New Roman"/>
          <w:kern w:val="0"/>
          <w:sz w:val="24"/>
          <w:szCs w:val="24"/>
          <w:lang w:eastAsia="el-GR"/>
          <w14:ligatures w14:val="none"/>
        </w:rPr>
        <w:t>διορθωτικό (blanco)</w:t>
      </w:r>
    </w:p>
    <w:p w14:paraId="47F79A4E" w14:textId="573C8422" w:rsidR="007A5B31" w:rsidRPr="007A5B31" w:rsidRDefault="007A5B31" w:rsidP="007A5B3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l-GR"/>
          <w14:ligatures w14:val="none"/>
        </w:rPr>
      </w:pPr>
      <w:r w:rsidRPr="007A5B31">
        <w:rPr>
          <w:rFonts w:ascii="Times New Roman" w:eastAsia="Times New Roman" w:hAnsi="Times New Roman" w:cs="Times New Roman"/>
          <w:kern w:val="0"/>
          <w:sz w:val="24"/>
          <w:szCs w:val="24"/>
          <w:lang w:eastAsia="el-GR"/>
          <w14:ligatures w14:val="none"/>
        </w:rPr>
        <w:t>υπολογιστικές μηχανές</w:t>
      </w:r>
    </w:p>
    <w:p w14:paraId="00E78219" w14:textId="404B30B2" w:rsidR="007A5B31" w:rsidRPr="007A5B31" w:rsidRDefault="007A5B31" w:rsidP="007A5B3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l-GR"/>
          <w14:ligatures w14:val="none"/>
        </w:rPr>
      </w:pPr>
      <w:r w:rsidRPr="007A5B31">
        <w:rPr>
          <w:rFonts w:ascii="Times New Roman" w:eastAsia="Times New Roman" w:hAnsi="Times New Roman" w:cs="Times New Roman"/>
          <w:kern w:val="0"/>
          <w:sz w:val="24"/>
          <w:szCs w:val="24"/>
          <w:lang w:eastAsia="el-GR"/>
          <w14:ligatures w14:val="none"/>
        </w:rPr>
        <w:t xml:space="preserve">ηλεκτρονικά μέσα μετάδοσης πληροφοριών π.χ. κινητά τηλέφωνα, smart watches. </w:t>
      </w:r>
      <w:r w:rsidRPr="007A5B31">
        <w:rPr>
          <w:rFonts w:ascii="Times New Roman" w:eastAsia="Times New Roman" w:hAnsi="Times New Roman" w:cs="Times New Roman"/>
          <w:b/>
          <w:bCs/>
          <w:color w:val="FF0000"/>
          <w:kern w:val="0"/>
          <w:sz w:val="24"/>
          <w:szCs w:val="24"/>
          <w:lang w:eastAsia="el-GR"/>
          <w14:ligatures w14:val="none"/>
        </w:rPr>
        <w:t>Τα κινητά τηλέφωνα, απαγορεύεται να βρίσκονται στην αίθουσα εξέτασης ακόμα κι αν είναι απενεργοποιημένα</w:t>
      </w:r>
      <w:r w:rsidRPr="007A5B31">
        <w:rPr>
          <w:rFonts w:ascii="Times New Roman" w:eastAsia="Times New Roman" w:hAnsi="Times New Roman" w:cs="Times New Roman"/>
          <w:color w:val="FF0000"/>
          <w:kern w:val="0"/>
          <w:sz w:val="24"/>
          <w:szCs w:val="24"/>
          <w:lang w:eastAsia="el-GR"/>
          <w14:ligatures w14:val="none"/>
        </w:rPr>
        <w:t xml:space="preserve">. </w:t>
      </w:r>
      <w:r w:rsidRPr="007A5B31">
        <w:rPr>
          <w:rFonts w:ascii="Times New Roman" w:eastAsia="Times New Roman" w:hAnsi="Times New Roman" w:cs="Times New Roman"/>
          <w:color w:val="333300"/>
          <w:kern w:val="0"/>
          <w:sz w:val="24"/>
          <w:szCs w:val="24"/>
          <w:lang w:eastAsia="el-GR"/>
          <w14:ligatures w14:val="none"/>
        </w:rPr>
        <w:t>Αν υπάρχει εξαιρετικός λόγος κάποιος/α υποψήφιος/α να έχει κινητό τηλέφωνο μαζί του, οφείλει να έχει κολλήσει αυτοκόλλητο στην πίσω μεριά του τηλεφώνου με το όνομα του και να το παραδώσει υποχρεωτικά στην είσοδο του σχολείου σε καθηγητή της Επιτροπής εξετάσεων, διαφορετικά, κινδυνεύει με αποκλεισμό από τις εξετάσεις.</w:t>
      </w:r>
    </w:p>
    <w:p w14:paraId="4C76B1CD" w14:textId="77777777" w:rsidR="007A5B31" w:rsidRPr="007A5B31" w:rsidRDefault="007A5B31" w:rsidP="007A5B3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l-GR"/>
          <w14:ligatures w14:val="none"/>
        </w:rPr>
      </w:pPr>
      <w:r w:rsidRPr="007A5B31">
        <w:rPr>
          <w:rFonts w:ascii="Times New Roman" w:eastAsia="Times New Roman" w:hAnsi="Times New Roman" w:cs="Times New Roman"/>
          <w:kern w:val="0"/>
          <w:sz w:val="24"/>
          <w:szCs w:val="24"/>
          <w:lang w:eastAsia="el-GR"/>
          <w14:ligatures w14:val="none"/>
        </w:rPr>
        <w:t>άλλα αντικείμενα, εκτός από αυτά που επιτρέπει η ΚΕΕ.</w:t>
      </w:r>
    </w:p>
    <w:p w14:paraId="008FF293" w14:textId="77777777" w:rsidR="007A5B31" w:rsidRPr="007A5B31" w:rsidRDefault="007A5B31" w:rsidP="007A5B3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l-GR"/>
          <w14:ligatures w14:val="none"/>
        </w:rPr>
      </w:pPr>
      <w:r w:rsidRPr="007A5B31">
        <w:rPr>
          <w:rFonts w:ascii="Times New Roman" w:eastAsia="Times New Roman" w:hAnsi="Times New Roman" w:cs="Times New Roman"/>
          <w:kern w:val="0"/>
          <w:sz w:val="24"/>
          <w:szCs w:val="24"/>
          <w:lang w:eastAsia="el-GR"/>
          <w14:ligatures w14:val="none"/>
        </w:rPr>
        <w:t>οτιδήποτε άλλο που θα μπορούσε να δολιεύσει τη διαδικασία της εξέτασης.</w:t>
      </w:r>
    </w:p>
    <w:p w14:paraId="61C10CCD" w14:textId="77777777" w:rsidR="007A5B31" w:rsidRPr="007A5B31" w:rsidRDefault="007A5B31" w:rsidP="007A5B31">
      <w:pPr>
        <w:spacing w:before="100" w:beforeAutospacing="1" w:after="100" w:afterAutospacing="1" w:line="240" w:lineRule="auto"/>
        <w:rPr>
          <w:rFonts w:ascii="Times New Roman" w:eastAsia="Times New Roman" w:hAnsi="Times New Roman" w:cs="Times New Roman"/>
          <w:b/>
          <w:bCs/>
          <w:kern w:val="0"/>
          <w:sz w:val="24"/>
          <w:szCs w:val="24"/>
          <w:lang w:eastAsia="el-GR"/>
          <w14:ligatures w14:val="none"/>
        </w:rPr>
      </w:pPr>
      <w:r w:rsidRPr="007A5B31">
        <w:rPr>
          <w:rFonts w:ascii="Times New Roman" w:eastAsia="Times New Roman" w:hAnsi="Times New Roman" w:cs="Times New Roman"/>
          <w:b/>
          <w:bCs/>
          <w:kern w:val="0"/>
          <w:sz w:val="24"/>
          <w:szCs w:val="24"/>
          <w:lang w:eastAsia="el-GR"/>
          <w14:ligatures w14:val="none"/>
        </w:rPr>
        <w:t>β)</w:t>
      </w:r>
      <w:r w:rsidRPr="007A5B31">
        <w:rPr>
          <w:rFonts w:ascii="Times New Roman" w:eastAsia="Times New Roman" w:hAnsi="Times New Roman" w:cs="Times New Roman"/>
          <w:kern w:val="0"/>
          <w:sz w:val="24"/>
          <w:szCs w:val="24"/>
          <w:lang w:eastAsia="el-GR"/>
          <w14:ligatures w14:val="none"/>
        </w:rPr>
        <w:t xml:space="preserve"> </w:t>
      </w:r>
      <w:r w:rsidRPr="007A5B31">
        <w:rPr>
          <w:rFonts w:ascii="Times New Roman" w:eastAsia="Times New Roman" w:hAnsi="Times New Roman" w:cs="Times New Roman"/>
          <w:b/>
          <w:bCs/>
          <w:color w:val="008000"/>
          <w:kern w:val="0"/>
          <w:sz w:val="24"/>
          <w:szCs w:val="24"/>
          <w:lang w:eastAsia="el-GR"/>
          <w14:ligatures w14:val="none"/>
        </w:rPr>
        <w:t>Επιτρέπεται</w:t>
      </w:r>
      <w:r w:rsidRPr="007A5B31">
        <w:rPr>
          <w:rFonts w:ascii="Times New Roman" w:eastAsia="Times New Roman" w:hAnsi="Times New Roman" w:cs="Times New Roman"/>
          <w:b/>
          <w:bCs/>
          <w:kern w:val="0"/>
          <w:sz w:val="24"/>
          <w:szCs w:val="24"/>
          <w:lang w:eastAsia="el-GR"/>
          <w14:ligatures w14:val="none"/>
        </w:rPr>
        <w:t xml:space="preserve"> να έχουν μαζί τους:</w:t>
      </w:r>
    </w:p>
    <w:p w14:paraId="4614F10C" w14:textId="77777777" w:rsidR="007A5B31" w:rsidRPr="007A5B31" w:rsidRDefault="007A5B31" w:rsidP="007A5B3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7A5B31">
        <w:rPr>
          <w:rFonts w:ascii="Times New Roman" w:eastAsia="Times New Roman" w:hAnsi="Times New Roman" w:cs="Times New Roman"/>
          <w:kern w:val="0"/>
          <w:sz w:val="24"/>
          <w:szCs w:val="24"/>
          <w:lang w:eastAsia="el-GR"/>
          <w14:ligatures w14:val="none"/>
        </w:rPr>
        <w:t>Στυλό μπλε ή μαύρο ανεξίτηλης μελάνης</w:t>
      </w:r>
    </w:p>
    <w:p w14:paraId="2C702FFA" w14:textId="77777777" w:rsidR="007A5B31" w:rsidRPr="007A5B31" w:rsidRDefault="007A5B31" w:rsidP="007A5B3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7A5B31">
        <w:rPr>
          <w:rFonts w:ascii="Times New Roman" w:eastAsia="Times New Roman" w:hAnsi="Times New Roman" w:cs="Times New Roman"/>
          <w:kern w:val="0"/>
          <w:sz w:val="24"/>
          <w:szCs w:val="24"/>
          <w:lang w:eastAsia="el-GR"/>
          <w14:ligatures w14:val="none"/>
        </w:rPr>
        <w:t>Μολύβι.</w:t>
      </w:r>
    </w:p>
    <w:p w14:paraId="66ED62C2" w14:textId="77777777" w:rsidR="007A5B31" w:rsidRPr="007A5B31" w:rsidRDefault="007A5B31" w:rsidP="007A5B3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7A5B31">
        <w:rPr>
          <w:rFonts w:ascii="Times New Roman" w:eastAsia="Times New Roman" w:hAnsi="Times New Roman" w:cs="Times New Roman"/>
          <w:kern w:val="0"/>
          <w:sz w:val="24"/>
          <w:szCs w:val="24"/>
          <w:lang w:eastAsia="el-GR"/>
          <w14:ligatures w14:val="none"/>
        </w:rPr>
        <w:t>Ξύστρα</w:t>
      </w:r>
    </w:p>
    <w:p w14:paraId="3BF29D9E" w14:textId="77777777" w:rsidR="007A5B31" w:rsidRPr="007A5B31" w:rsidRDefault="007A5B31" w:rsidP="007A5B3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7A5B31">
        <w:rPr>
          <w:rFonts w:ascii="Times New Roman" w:eastAsia="Times New Roman" w:hAnsi="Times New Roman" w:cs="Times New Roman"/>
          <w:kern w:val="0"/>
          <w:sz w:val="24"/>
          <w:szCs w:val="24"/>
          <w:lang w:eastAsia="el-GR"/>
          <w14:ligatures w14:val="none"/>
        </w:rPr>
        <w:t>Γομολάστιχα</w:t>
      </w:r>
    </w:p>
    <w:p w14:paraId="65959AE0" w14:textId="77777777" w:rsidR="007A5B31" w:rsidRPr="007A5B31" w:rsidRDefault="007A5B31" w:rsidP="007A5B3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7A5B31">
        <w:rPr>
          <w:rFonts w:ascii="Times New Roman" w:eastAsia="Times New Roman" w:hAnsi="Times New Roman" w:cs="Times New Roman"/>
          <w:kern w:val="0"/>
          <w:sz w:val="24"/>
          <w:szCs w:val="24"/>
          <w:lang w:eastAsia="el-GR"/>
          <w14:ligatures w14:val="none"/>
        </w:rPr>
        <w:t>Όργανα σχεδίασης</w:t>
      </w:r>
    </w:p>
    <w:p w14:paraId="37637378" w14:textId="77777777" w:rsidR="007A5B31" w:rsidRPr="007A5B31" w:rsidRDefault="007A5B31" w:rsidP="007A5B3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7A5B31">
        <w:rPr>
          <w:rFonts w:ascii="Times New Roman" w:eastAsia="Times New Roman" w:hAnsi="Times New Roman" w:cs="Times New Roman"/>
          <w:kern w:val="0"/>
          <w:sz w:val="24"/>
          <w:szCs w:val="24"/>
          <w:lang w:eastAsia="el-GR"/>
          <w14:ligatures w14:val="none"/>
        </w:rPr>
        <w:t>Νερό ή αναψυκτικό</w:t>
      </w:r>
    </w:p>
    <w:p w14:paraId="7D51923D" w14:textId="77777777" w:rsidR="007A5B31" w:rsidRPr="007A5B31" w:rsidRDefault="007A5B31" w:rsidP="007A5B3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7A5B31">
        <w:rPr>
          <w:rFonts w:ascii="Times New Roman" w:eastAsia="Times New Roman" w:hAnsi="Times New Roman" w:cs="Times New Roman"/>
          <w:color w:val="FF0000"/>
          <w:kern w:val="0"/>
          <w:sz w:val="24"/>
          <w:szCs w:val="24"/>
          <w:lang w:eastAsia="el-GR"/>
          <w14:ligatures w14:val="none"/>
        </w:rPr>
        <w:t>ΠΡΟΣΟΧΗ!</w:t>
      </w:r>
      <w:r w:rsidRPr="007A5B31">
        <w:rPr>
          <w:rFonts w:ascii="Times New Roman" w:eastAsia="Times New Roman" w:hAnsi="Times New Roman" w:cs="Times New Roman"/>
          <w:kern w:val="0"/>
          <w:sz w:val="24"/>
          <w:szCs w:val="24"/>
          <w:lang w:eastAsia="el-GR"/>
          <w14:ligatures w14:val="none"/>
        </w:rPr>
        <w:t xml:space="preserve"> </w:t>
      </w:r>
      <w:r w:rsidRPr="007A5B31">
        <w:rPr>
          <w:rFonts w:ascii="Times New Roman" w:eastAsia="Times New Roman" w:hAnsi="Times New Roman" w:cs="Times New Roman"/>
          <w:b/>
          <w:bCs/>
          <w:kern w:val="0"/>
          <w:sz w:val="24"/>
          <w:szCs w:val="24"/>
          <w:lang w:eastAsia="el-GR"/>
          <w14:ligatures w14:val="none"/>
        </w:rPr>
        <w:t xml:space="preserve">Ο κάθε υποψήφιος μπορεί να έχει μόνο ένα τετράδιο και δεν μπορεί να πάρει δεύτερο. Το μολύβι δεν επιτρέπεται στις απαντήσεις, </w:t>
      </w:r>
      <w:r w:rsidRPr="007A5B31">
        <w:rPr>
          <w:rFonts w:ascii="Times New Roman" w:eastAsia="Times New Roman" w:hAnsi="Times New Roman" w:cs="Times New Roman"/>
          <w:kern w:val="0"/>
          <w:sz w:val="24"/>
          <w:szCs w:val="24"/>
          <w:lang w:eastAsia="el-GR"/>
          <w14:ligatures w14:val="none"/>
        </w:rPr>
        <w:t>εκτός αν αναφέρεται η χρήση του στις οδηγίες των θεμάτων.</w:t>
      </w:r>
    </w:p>
    <w:p w14:paraId="3D643196" w14:textId="7B191790" w:rsidR="007A5B31" w:rsidRPr="007A5B31" w:rsidRDefault="007A5B31" w:rsidP="007A5B31">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7A5B31">
        <w:rPr>
          <w:rFonts w:ascii="Times New Roman" w:eastAsia="Times New Roman" w:hAnsi="Times New Roman" w:cs="Times New Roman"/>
          <w:b/>
          <w:bCs/>
          <w:color w:val="800080"/>
          <w:kern w:val="0"/>
          <w:sz w:val="24"/>
          <w:szCs w:val="24"/>
          <w:lang w:eastAsia="el-GR"/>
          <w14:ligatures w14:val="none"/>
        </w:rPr>
        <w:t xml:space="preserve">Δείτε </w:t>
      </w:r>
      <w:hyperlink r:id="rId7" w:history="1">
        <w:r w:rsidRPr="007A5B31">
          <w:rPr>
            <w:rStyle w:val="-"/>
            <w:rFonts w:ascii="Times New Roman" w:eastAsia="Times New Roman" w:hAnsi="Times New Roman" w:cs="Times New Roman"/>
            <w:b/>
            <w:bCs/>
            <w:kern w:val="0"/>
            <w:sz w:val="24"/>
            <w:szCs w:val="24"/>
            <w:lang w:eastAsia="el-GR"/>
            <w14:ligatures w14:val="none"/>
          </w:rPr>
          <w:t>ΕΔΩ</w:t>
        </w:r>
      </w:hyperlink>
      <w:r w:rsidRPr="007A5B31">
        <w:rPr>
          <w:rFonts w:ascii="Times New Roman" w:eastAsia="Times New Roman" w:hAnsi="Times New Roman" w:cs="Times New Roman"/>
          <w:b/>
          <w:bCs/>
          <w:color w:val="800080"/>
          <w:kern w:val="0"/>
          <w:sz w:val="24"/>
          <w:szCs w:val="24"/>
          <w:lang w:eastAsia="el-GR"/>
          <w14:ligatures w14:val="none"/>
        </w:rPr>
        <w:t xml:space="preserve"> το Πρόγραμμα των Πανελλαδικών εξετάσεων </w:t>
      </w:r>
      <w:r>
        <w:rPr>
          <w:rFonts w:ascii="Times New Roman" w:eastAsia="Times New Roman" w:hAnsi="Times New Roman" w:cs="Times New Roman"/>
          <w:b/>
          <w:bCs/>
          <w:color w:val="800080"/>
          <w:kern w:val="0"/>
          <w:sz w:val="24"/>
          <w:szCs w:val="24"/>
          <w:lang w:eastAsia="el-GR"/>
          <w14:ligatures w14:val="none"/>
        </w:rPr>
        <w:t>2024</w:t>
      </w:r>
      <w:r w:rsidRPr="007A5B31">
        <w:rPr>
          <w:rFonts w:ascii="Times New Roman" w:eastAsia="Times New Roman" w:hAnsi="Times New Roman" w:cs="Times New Roman"/>
          <w:color w:val="800080"/>
          <w:kern w:val="0"/>
          <w:sz w:val="24"/>
          <w:szCs w:val="24"/>
          <w:u w:val="single"/>
          <w:lang w:eastAsia="el-GR"/>
          <w14:ligatures w14:val="none"/>
        </w:rPr>
        <w:t xml:space="preserve"> </w:t>
      </w:r>
    </w:p>
    <w:p w14:paraId="47CF120C" w14:textId="2E9D2FB3" w:rsidR="007A5B31" w:rsidRPr="007A5B31" w:rsidRDefault="007A5B31" w:rsidP="007A5B31">
      <w:pPr>
        <w:spacing w:before="100" w:beforeAutospacing="1" w:after="100" w:afterAutospacing="1" w:line="240" w:lineRule="auto"/>
        <w:jc w:val="right"/>
        <w:rPr>
          <w:rFonts w:ascii="Times New Roman" w:eastAsia="Times New Roman" w:hAnsi="Times New Roman" w:cs="Times New Roman"/>
          <w:kern w:val="0"/>
          <w:sz w:val="24"/>
          <w:szCs w:val="24"/>
          <w:lang w:eastAsia="el-GR"/>
          <w14:ligatures w14:val="none"/>
        </w:rPr>
      </w:pPr>
      <w:hyperlink r:id="rId8" w:tgtFrame="_blank" w:history="1">
        <w:r w:rsidRPr="007A5B31">
          <w:rPr>
            <w:rFonts w:ascii="Times New Roman" w:eastAsia="Times New Roman" w:hAnsi="Times New Roman" w:cs="Times New Roman"/>
            <w:color w:val="0000FF"/>
            <w:kern w:val="0"/>
            <w:sz w:val="24"/>
            <w:szCs w:val="24"/>
            <w:u w:val="single"/>
            <w:lang w:eastAsia="el-GR"/>
            <w14:ligatures w14:val="none"/>
          </w:rPr>
          <w:t> </w:t>
        </w:r>
      </w:hyperlink>
      <w:r w:rsidRPr="007A5B31">
        <w:rPr>
          <w:rFonts w:ascii="Times New Roman" w:eastAsia="Times New Roman" w:hAnsi="Times New Roman" w:cs="Times New Roman"/>
          <w:b/>
          <w:bCs/>
          <w:noProof/>
          <w:color w:val="0000FF"/>
          <w:kern w:val="0"/>
          <w:sz w:val="24"/>
          <w:szCs w:val="24"/>
          <w:lang w:eastAsia="el-GR"/>
          <w14:ligatures w14:val="none"/>
        </w:rPr>
        <w:t xml:space="preserve"> </w:t>
      </w:r>
    </w:p>
    <w:p w14:paraId="75E634E1" w14:textId="77777777" w:rsidR="00BF44EE" w:rsidRDefault="00BF44EE" w:rsidP="007A5B31">
      <w:pPr>
        <w:spacing w:before="100" w:beforeAutospacing="1" w:after="100" w:afterAutospacing="1" w:line="240" w:lineRule="auto"/>
        <w:jc w:val="center"/>
        <w:rPr>
          <w:rFonts w:ascii="Times New Roman" w:eastAsia="Times New Roman" w:hAnsi="Times New Roman" w:cs="Times New Roman"/>
          <w:b/>
          <w:bCs/>
          <w:kern w:val="0"/>
          <w:sz w:val="24"/>
          <w:szCs w:val="24"/>
          <w:lang w:eastAsia="el-GR"/>
          <w14:ligatures w14:val="none"/>
        </w:rPr>
      </w:pPr>
      <w:r>
        <w:rPr>
          <w:noProof/>
        </w:rPr>
        <w:lastRenderedPageBreak/>
        <w:drawing>
          <wp:inline distT="0" distB="0" distL="0" distR="0" wp14:anchorId="554DB708" wp14:editId="068AFEC3">
            <wp:extent cx="3619500" cy="1885950"/>
            <wp:effectExtent l="0" t="0" r="0" b="0"/>
            <wp:docPr id="1398077652" name="Εικόνα 1" descr="Εικόνα που περιέχει κείμενο, γραμματοσειρά, στιγμιότυπο οθόνης, πινακίδα/σή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77652" name="Εικόνα 1" descr="Εικόνα που περιέχει κείμενο, γραμματοσειρά, στιγμιότυπο οθόνης, πινακίδα/σήμα&#10;&#10;Περιγραφή που δημιουργήθηκε αυτόματα"/>
                    <pic:cNvPicPr/>
                  </pic:nvPicPr>
                  <pic:blipFill>
                    <a:blip r:embed="rId9"/>
                    <a:stretch>
                      <a:fillRect/>
                    </a:stretch>
                  </pic:blipFill>
                  <pic:spPr>
                    <a:xfrm>
                      <a:off x="0" y="0"/>
                      <a:ext cx="3619500" cy="1885950"/>
                    </a:xfrm>
                    <a:prstGeom prst="rect">
                      <a:avLst/>
                    </a:prstGeom>
                  </pic:spPr>
                </pic:pic>
              </a:graphicData>
            </a:graphic>
          </wp:inline>
        </w:drawing>
      </w:r>
    </w:p>
    <w:p w14:paraId="6DF425EE" w14:textId="1D5C383D" w:rsidR="007A5B31" w:rsidRPr="007A5B31" w:rsidRDefault="007A5B31" w:rsidP="007A5B31">
      <w:pPr>
        <w:spacing w:before="100" w:beforeAutospacing="1" w:after="100" w:afterAutospacing="1" w:line="240" w:lineRule="auto"/>
        <w:jc w:val="center"/>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b/>
          <w:bCs/>
          <w:kern w:val="0"/>
          <w:sz w:val="24"/>
          <w:szCs w:val="24"/>
          <w:lang w:eastAsia="el-GR"/>
          <w14:ligatures w14:val="none"/>
        </w:rPr>
        <w:t xml:space="preserve">Η Διεύθυνση </w:t>
      </w:r>
      <w:r w:rsidRPr="007A5B31">
        <w:rPr>
          <w:rFonts w:ascii="Times New Roman" w:eastAsia="Times New Roman" w:hAnsi="Times New Roman" w:cs="Times New Roman"/>
          <w:b/>
          <w:bCs/>
          <w:kern w:val="0"/>
          <w:sz w:val="24"/>
          <w:szCs w:val="24"/>
          <w:lang w:eastAsia="el-GR"/>
          <w14:ligatures w14:val="none"/>
        </w:rPr>
        <w:t xml:space="preserve"> και οι Καθηγητές/τριες του 2ου ΓεΛ Νέας Ιωνίας σας εύχονται</w:t>
      </w:r>
    </w:p>
    <w:p w14:paraId="4A6017EB" w14:textId="2190A70A" w:rsidR="007A5B31" w:rsidRPr="007A5B31" w:rsidRDefault="00BF44EE" w:rsidP="007A5B31">
      <w:pPr>
        <w:spacing w:before="100" w:beforeAutospacing="1" w:after="100" w:afterAutospacing="1" w:line="240" w:lineRule="auto"/>
        <w:jc w:val="center"/>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b/>
          <w:bCs/>
          <w:kern w:val="0"/>
          <w:sz w:val="24"/>
          <w:szCs w:val="24"/>
          <w:lang w:eastAsia="el-GR"/>
          <w14:ligatures w14:val="none"/>
        </w:rPr>
        <w:t>ΠΑΝΤΑ ΕΠΙΤΥΧΙΕΣ!!</w:t>
      </w:r>
      <w:r w:rsidR="007A5B31" w:rsidRPr="007A5B31">
        <w:rPr>
          <w:rFonts w:ascii="Times New Roman" w:eastAsia="Times New Roman" w:hAnsi="Times New Roman" w:cs="Times New Roman"/>
          <w:b/>
          <w:bCs/>
          <w:kern w:val="0"/>
          <w:sz w:val="24"/>
          <w:szCs w:val="24"/>
          <w:lang w:eastAsia="el-GR"/>
          <w14:ligatures w14:val="none"/>
        </w:rPr>
        <w:t>!</w:t>
      </w:r>
    </w:p>
    <w:p w14:paraId="6E5732D5" w14:textId="77777777" w:rsidR="00543A8A" w:rsidRDefault="00543A8A"/>
    <w:sectPr w:rsidR="00543A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63EB"/>
    <w:multiLevelType w:val="multilevel"/>
    <w:tmpl w:val="0E9A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470BB"/>
    <w:multiLevelType w:val="multilevel"/>
    <w:tmpl w:val="006A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E82341"/>
    <w:multiLevelType w:val="multilevel"/>
    <w:tmpl w:val="5B3C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859783">
    <w:abstractNumId w:val="1"/>
  </w:num>
  <w:num w:numId="2" w16cid:durableId="983318574">
    <w:abstractNumId w:val="0"/>
  </w:num>
  <w:num w:numId="3" w16cid:durableId="88939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31"/>
    <w:rsid w:val="000F185E"/>
    <w:rsid w:val="00543A8A"/>
    <w:rsid w:val="007A5B31"/>
    <w:rsid w:val="00BF44EE"/>
    <w:rsid w:val="00E93E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43DA"/>
  <w15:chartTrackingRefBased/>
  <w15:docId w15:val="{79988948-427A-47A2-B6CE-32FA1945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85E"/>
    <w:pPr>
      <w:spacing w:line="256" w:lineRule="auto"/>
    </w:pPr>
  </w:style>
  <w:style w:type="paragraph" w:styleId="1">
    <w:name w:val="heading 1"/>
    <w:basedOn w:val="a"/>
    <w:next w:val="a"/>
    <w:link w:val="1Char"/>
    <w:uiPriority w:val="9"/>
    <w:qFormat/>
    <w:rsid w:val="007A5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A5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A5B3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A5B3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A5B3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A5B3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A5B3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A5B3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A5B3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A5B3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A5B3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A5B3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A5B3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A5B3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A5B3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A5B3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A5B3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A5B31"/>
    <w:rPr>
      <w:rFonts w:eastAsiaTheme="majorEastAsia" w:cstheme="majorBidi"/>
      <w:color w:val="272727" w:themeColor="text1" w:themeTint="D8"/>
    </w:rPr>
  </w:style>
  <w:style w:type="paragraph" w:styleId="a3">
    <w:name w:val="Title"/>
    <w:basedOn w:val="a"/>
    <w:next w:val="a"/>
    <w:link w:val="Char"/>
    <w:uiPriority w:val="10"/>
    <w:qFormat/>
    <w:rsid w:val="007A5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A5B3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A5B3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A5B3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A5B31"/>
    <w:pPr>
      <w:spacing w:before="160"/>
      <w:jc w:val="center"/>
    </w:pPr>
    <w:rPr>
      <w:i/>
      <w:iCs/>
      <w:color w:val="404040" w:themeColor="text1" w:themeTint="BF"/>
    </w:rPr>
  </w:style>
  <w:style w:type="character" w:customStyle="1" w:styleId="Char1">
    <w:name w:val="Απόσπασμα Char"/>
    <w:basedOn w:val="a0"/>
    <w:link w:val="a5"/>
    <w:uiPriority w:val="29"/>
    <w:rsid w:val="007A5B31"/>
    <w:rPr>
      <w:i/>
      <w:iCs/>
      <w:color w:val="404040" w:themeColor="text1" w:themeTint="BF"/>
    </w:rPr>
  </w:style>
  <w:style w:type="paragraph" w:styleId="a6">
    <w:name w:val="List Paragraph"/>
    <w:basedOn w:val="a"/>
    <w:uiPriority w:val="34"/>
    <w:qFormat/>
    <w:rsid w:val="007A5B31"/>
    <w:pPr>
      <w:ind w:left="720"/>
      <w:contextualSpacing/>
    </w:pPr>
  </w:style>
  <w:style w:type="character" w:styleId="a7">
    <w:name w:val="Intense Emphasis"/>
    <w:basedOn w:val="a0"/>
    <w:uiPriority w:val="21"/>
    <w:qFormat/>
    <w:rsid w:val="007A5B31"/>
    <w:rPr>
      <w:i/>
      <w:iCs/>
      <w:color w:val="0F4761" w:themeColor="accent1" w:themeShade="BF"/>
    </w:rPr>
  </w:style>
  <w:style w:type="paragraph" w:styleId="a8">
    <w:name w:val="Intense Quote"/>
    <w:basedOn w:val="a"/>
    <w:next w:val="a"/>
    <w:link w:val="Char2"/>
    <w:uiPriority w:val="30"/>
    <w:qFormat/>
    <w:rsid w:val="007A5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A5B31"/>
    <w:rPr>
      <w:i/>
      <w:iCs/>
      <w:color w:val="0F4761" w:themeColor="accent1" w:themeShade="BF"/>
    </w:rPr>
  </w:style>
  <w:style w:type="character" w:styleId="a9">
    <w:name w:val="Intense Reference"/>
    <w:basedOn w:val="a0"/>
    <w:uiPriority w:val="32"/>
    <w:qFormat/>
    <w:rsid w:val="007A5B31"/>
    <w:rPr>
      <w:b/>
      <w:bCs/>
      <w:smallCaps/>
      <w:color w:val="0F4761" w:themeColor="accent1" w:themeShade="BF"/>
      <w:spacing w:val="5"/>
    </w:rPr>
  </w:style>
  <w:style w:type="character" w:styleId="-">
    <w:name w:val="Hyperlink"/>
    <w:basedOn w:val="a0"/>
    <w:uiPriority w:val="99"/>
    <w:unhideWhenUsed/>
    <w:rsid w:val="007A5B31"/>
    <w:rPr>
      <w:color w:val="467886" w:themeColor="hyperlink"/>
      <w:u w:val="single"/>
    </w:rPr>
  </w:style>
  <w:style w:type="character" w:styleId="aa">
    <w:name w:val="Unresolved Mention"/>
    <w:basedOn w:val="a0"/>
    <w:uiPriority w:val="99"/>
    <w:semiHidden/>
    <w:unhideWhenUsed/>
    <w:rsid w:val="007A5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1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lyk-n-ionias.att.sch.gr/?p=10963" TargetMode="External"/><Relationship Id="rId3" Type="http://schemas.openxmlformats.org/officeDocument/2006/relationships/settings" Target="settings.xml"/><Relationship Id="rId7" Type="http://schemas.openxmlformats.org/officeDocument/2006/relationships/hyperlink" Target="https://www.minedu.gov.gr/news/56450-14-09-23-programma-panelladikon-eksetaseon-imerision-kai-esperinon-gel-kai-epal-eidikon-kai-mousikon-mathimaton-kai-prothesmia-ygeionomikis-eksetasis-kai-praktikis-dokimasias-ton-ypopsifion-gia-eisagogi-sta-tefaa-etous-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2lyk-n-ionias.att.sch.gr/wp-content/uploads/2019/06/panellinies.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281</Words>
  <Characters>1519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DIMOPOULOU SEVASTI</dc:creator>
  <cp:keywords/>
  <dc:description/>
  <cp:lastModifiedBy>DIMOPOULOU SEVASTI</cp:lastModifiedBy>
  <cp:revision>1</cp:revision>
  <dcterms:created xsi:type="dcterms:W3CDTF">2024-05-26T18:34:00Z</dcterms:created>
  <dcterms:modified xsi:type="dcterms:W3CDTF">2024-05-26T18:48:00Z</dcterms:modified>
</cp:coreProperties>
</file>